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C2483" w14:textId="77777777" w:rsidR="00A77B3E" w:rsidRDefault="006814CD">
      <w:pPr>
        <w:jc w:val="center"/>
        <w:rPr>
          <w:b/>
          <w:caps/>
        </w:rPr>
      </w:pPr>
      <w:r>
        <w:rPr>
          <w:b/>
          <w:caps/>
        </w:rPr>
        <w:t>Uchwała nr XXIV/354/26</w:t>
      </w:r>
      <w:r>
        <w:rPr>
          <w:b/>
          <w:caps/>
        </w:rPr>
        <w:br/>
        <w:t>Rady Miasta Zduńska Wola</w:t>
      </w:r>
    </w:p>
    <w:p w14:paraId="300192CD" w14:textId="77777777" w:rsidR="00A77B3E" w:rsidRDefault="006814CD">
      <w:pPr>
        <w:spacing w:before="280" w:after="280"/>
        <w:jc w:val="center"/>
        <w:rPr>
          <w:b/>
          <w:caps/>
        </w:rPr>
      </w:pPr>
      <w:r>
        <w:t>z dnia 26 marca 2026 r.</w:t>
      </w:r>
    </w:p>
    <w:p w14:paraId="47699AD0" w14:textId="77777777" w:rsidR="00A77B3E" w:rsidRDefault="006814CD">
      <w:pPr>
        <w:keepNext/>
        <w:spacing w:after="240"/>
        <w:jc w:val="center"/>
      </w:pPr>
      <w:r>
        <w:rPr>
          <w:b/>
        </w:rPr>
        <w:t>w sprawie rozpatrzenia petycji</w:t>
      </w:r>
    </w:p>
    <w:p w14:paraId="3964FD52" w14:textId="77777777" w:rsidR="00A77B3E" w:rsidRDefault="006814CD">
      <w:pPr>
        <w:keepLines/>
        <w:spacing w:before="120" w:after="120"/>
        <w:ind w:firstLine="227"/>
      </w:pPr>
      <w:r>
        <w:t>Na podstawie art. 18 ust. 2 pkt 15 ustawy z dnia 8 marca 1990 r. o samorządzie gminnym</w:t>
      </w:r>
      <w:r>
        <w:br/>
        <w:t>(Dz. U. z 2025 r. poz. 1153 i </w:t>
      </w:r>
      <w:r>
        <w:t>1436 oraz z 2026 r. poz. 252) oraz art. 9 ust. 2 i art. 13 ustawy z dnia 11 lipca 2014 r. o petycjach (Dz. U. z 2018 r. poz. 870) uchwala się, co następuje:</w:t>
      </w:r>
    </w:p>
    <w:p w14:paraId="725711DF" w14:textId="6369826E" w:rsidR="00A77B3E" w:rsidRDefault="006814CD">
      <w:pPr>
        <w:keepLines/>
        <w:spacing w:before="120" w:after="120"/>
        <w:ind w:firstLine="340"/>
      </w:pPr>
      <w:r>
        <w:rPr>
          <w:b/>
        </w:rPr>
        <w:t>§ 1. </w:t>
      </w:r>
      <w:r>
        <w:t xml:space="preserve">Petycję z dnia 8 stycznia 2026 r. złożoną drogą elektroniczną w interesie publicznym przez Pana </w:t>
      </w:r>
      <w:r w:rsidR="007873C7">
        <w:t>………………………….</w:t>
      </w:r>
      <w:r>
        <w:t xml:space="preserve"> skierowaną do Rady Miasta Zduńska Wola w sprawie pomników przyrody, uznaje się:</w:t>
      </w:r>
    </w:p>
    <w:p w14:paraId="1155851C" w14:textId="77777777" w:rsidR="00A77B3E" w:rsidRDefault="006814CD">
      <w:pPr>
        <w:spacing w:before="120" w:after="120"/>
        <w:ind w:left="340" w:hanging="227"/>
      </w:pPr>
      <w:r>
        <w:t>1) </w:t>
      </w:r>
      <w:r>
        <w:t>w części pierwszej petycji, tj. zmiany - aktualizacji prawa miejscowego w zakresie funkcjonowania 10 pomników przyrody tj. podjęcie uchwał Rady Miasta w sprawie pomników przyrody lub w sprawie aktualizacji danych pomników przyrody znajdujących się na terenie miasta Zduńska Wola celem dostosowania prawa miejscowego do aktualnych przepisów wynikających</w:t>
      </w:r>
      <w:r>
        <w:br/>
        <w:t>z ustawy o ochronie przyrody i wyeliminowania niejasności w zakresie sprawującego nadzór -</w:t>
      </w:r>
      <w:r>
        <w:br/>
        <w:t>za zasadną;</w:t>
      </w:r>
    </w:p>
    <w:p w14:paraId="18E048A2" w14:textId="77777777" w:rsidR="00A77B3E" w:rsidRDefault="006814CD">
      <w:pPr>
        <w:spacing w:before="120" w:after="120"/>
        <w:ind w:left="340" w:hanging="227"/>
      </w:pPr>
      <w:r>
        <w:t>2) </w:t>
      </w:r>
      <w:r>
        <w:t>w części drugiej petycji, tj. wprowadzenia do programu ochrony środowiska bardziej szczegółowych zapisów dotyczących kontrolowania raz na rok lub raz na dwa lata przeglądu pomników przyrody i podczas takiego przeglądu w terenie sprawdzanie czy są kompletne i widoczne oznakowania, ogólny wizualny stan zdrowia, czy są przestrzegane zakazy (np. porządek, niszczenie, zaśmiecanie itp.) oraz ewentualne podejmowanie działań ochronnych i zapobiegawczych a także dokumentowanie zdarzeń - za bezzasadną.</w:t>
      </w:r>
    </w:p>
    <w:p w14:paraId="6F4F30F0" w14:textId="77777777" w:rsidR="00A77B3E" w:rsidRDefault="006814CD">
      <w:pPr>
        <w:keepLines/>
        <w:spacing w:before="120" w:after="120"/>
        <w:ind w:firstLine="340"/>
      </w:pPr>
      <w:r>
        <w:rPr>
          <w:b/>
        </w:rPr>
        <w:t>§ 2. </w:t>
      </w:r>
      <w:r>
        <w:t>Uzasadnienie rozstrzygnięcia petycji stanowi załącznik do niniejszej uchwały.</w:t>
      </w:r>
    </w:p>
    <w:p w14:paraId="4C1548F8" w14:textId="77777777" w:rsidR="00A77B3E" w:rsidRDefault="006814CD">
      <w:pPr>
        <w:keepLines/>
        <w:spacing w:before="120" w:after="120"/>
        <w:ind w:firstLine="340"/>
      </w:pPr>
      <w:r>
        <w:rPr>
          <w:b/>
        </w:rPr>
        <w:t>§ 3. </w:t>
      </w:r>
      <w:r>
        <w:t>Zobowiązuje się Przewodniczącego Rady Miasta Zduńska Wola do zawiadomienia wnoszącego petycję o sposobie jej załatwienia.</w:t>
      </w:r>
    </w:p>
    <w:p w14:paraId="679D2D94" w14:textId="77777777" w:rsidR="00A77B3E" w:rsidRDefault="006814CD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t>1. </w:t>
      </w:r>
      <w:r>
        <w:t>Uchwała wchodzi w życie z dniem podjęcia.</w:t>
      </w:r>
    </w:p>
    <w:p w14:paraId="13EA7EA7" w14:textId="77777777" w:rsidR="00A77B3E" w:rsidRDefault="006814CD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Uchwała podlega podaniu do publicznej wiadomości poprzez rozplakatowanie na tablicy ogłoszeń w Urzędzie Miasta Zduńska Wola oraz poprzez zamieszczenie jej treści na stronie Biuletynu Informacji Publicznej Urzędu Miasta Zduńska Wola.</w:t>
      </w:r>
    </w:p>
    <w:p w14:paraId="2609981F" w14:textId="77777777" w:rsidR="00A77B3E" w:rsidRDefault="00A77B3E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14:paraId="591DB3BA" w14:textId="77777777" w:rsidR="00A77B3E" w:rsidRDefault="006814CD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6"/>
        <w:gridCol w:w="5046"/>
      </w:tblGrid>
      <w:tr w:rsidR="00E14EDC" w14:paraId="58D205FB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84D7EF" w14:textId="77777777" w:rsidR="00E14EDC" w:rsidRDefault="00E14EDC">
            <w:pPr>
              <w:keepNext/>
              <w:keepLines/>
              <w:jc w:val="left"/>
              <w:rPr>
                <w:color w:val="000000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5CE534" w14:textId="77777777" w:rsidR="00E14EDC" w:rsidRDefault="006814CD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</w:rPr>
            </w:pPr>
            <w:r>
              <w:rPr>
                <w:color w:val="000000"/>
              </w:rPr>
              <w:t>Przewodniczący Rady Miasta Zduńska Wola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</w:rPr>
              <w:t>Tomasz Pohl</w:t>
            </w:r>
          </w:p>
        </w:tc>
      </w:tr>
    </w:tbl>
    <w:p w14:paraId="0C3C6566" w14:textId="77777777" w:rsidR="00A77B3E" w:rsidRDefault="00A77B3E">
      <w:pPr>
        <w:keepNext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737" w:right="850" w:bottom="737" w:left="964" w:header="708" w:footer="708" w:gutter="0"/>
          <w:cols w:space="708"/>
          <w:docGrid w:linePitch="360"/>
        </w:sectPr>
      </w:pPr>
    </w:p>
    <w:p w14:paraId="040AAD29" w14:textId="77777777" w:rsidR="00A77B3E" w:rsidRDefault="006814CD">
      <w:pPr>
        <w:spacing w:before="120" w:after="120"/>
        <w:ind w:left="5519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t>Załącznik do uchwały nr XXIV/354/26</w:t>
      </w:r>
      <w:r>
        <w:rPr>
          <w:color w:val="000000"/>
          <w:u w:color="000000"/>
        </w:rPr>
        <w:br/>
        <w:t>Rady Miasta Zduńska Wola</w:t>
      </w:r>
      <w:r>
        <w:rPr>
          <w:color w:val="000000"/>
          <w:u w:color="000000"/>
        </w:rPr>
        <w:br/>
        <w:t>z dnia 26 marca 2026 r.</w:t>
      </w:r>
    </w:p>
    <w:p w14:paraId="28A1ACBA" w14:textId="77777777" w:rsidR="00A77B3E" w:rsidRDefault="006814CD">
      <w:pPr>
        <w:spacing w:before="120" w:after="120"/>
        <w:ind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Uzasadnienie</w:t>
      </w:r>
    </w:p>
    <w:p w14:paraId="5D6C2333" w14:textId="77777777" w:rsidR="00A77B3E" w:rsidRDefault="006814CD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ab/>
        <w:t>W dniu 8 stycznia 2026 r. wpłynęła drogą elektroniczną do Urzędu Miasta Zduńska Wola petycja złożona w interesie publicznym w sprawie pomników przyrody. W petycji złożono dwa wnioski, tj.:</w:t>
      </w:r>
    </w:p>
    <w:p w14:paraId="188F4E3F" w14:textId="77777777" w:rsidR="00A77B3E" w:rsidRDefault="006814CD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1) „Zmianę - AKTUALIZACJĘ Prawa Miejscowego w zakresie funkcjonowania 10 pomników przyrody tj. UTWORZENIE UCHWAŁY (lub uchwał) Rady MIASTA w sprawie pomników przyrody lub w sprawie aktualizacji danych pomników przyrody znajdujących się na terenie MIASTA ZDUŃSKA WOLA w celu dostosowania prawa miejscowego do aktualnych przepisów wynikających z ustawy o ochronie przyrody i wyeliminowania niejasności w zakresie sprawującego nadzór.” ;</w:t>
      </w:r>
    </w:p>
    <w:p w14:paraId="4CB97DE2" w14:textId="77777777" w:rsidR="00A77B3E" w:rsidRDefault="006814CD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2) „Wprowadzenie do programu ochrony środowiska bardziej szczegółowych zapisów: „każdy pomnik przyrody jest wizytowany raz na rok lub raz na dwa lata i podczas takiego przeglądu w terenie sprawdzane są: kompletność i widoczność oznakowania, ogólny wizualny stan zdrowia, przestrzeganie zakazów (np. porządek, niszczenie, zaśmiecanie itp.) i ewentualne potrzeby działań ochronnych i zapobiegawczych; dane te są zapisywane, przekazywane Wójtowi i przekazywane Radzie jako dowód ochrony” celem zapewnienia prawidłow</w:t>
      </w:r>
      <w:r>
        <w:rPr>
          <w:color w:val="000000"/>
          <w:u w:color="000000"/>
        </w:rPr>
        <w:t>ej ochrony pomników przyrody i prawidłowej realizacji programu ochrony środowiska.” .</w:t>
      </w:r>
    </w:p>
    <w:p w14:paraId="031F2D62" w14:textId="77777777" w:rsidR="00A77B3E" w:rsidRDefault="006814CD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Na podstawie § 60 ust. 2 Statutu Miasta Zduńska Wola Przewodniczący Rady Miasta Zduńska Wola przekazał petycję do Komisji Skarg, Wniosków i Petycji celem jej rozpatrzenia.</w:t>
      </w:r>
    </w:p>
    <w:p w14:paraId="5E1CB9C1" w14:textId="77777777" w:rsidR="00A77B3E" w:rsidRDefault="006814CD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Komisja Skarg, Wniosków i Petycji na posiedzeniach w dniach 26 stycznia 2026 r., 16 lutego 2026 r. oraz 2 marca 2026 r. dokonała analizy treści złożonej petycji, a także zapoznała się z wyjaśnieniami przekazanymi przez Prezydenta Miasta Zduńska Wola pismem z dnia 9 lutego 2026 r., znak: AK.152.1.2026.</w:t>
      </w:r>
    </w:p>
    <w:p w14:paraId="0F0F00F4" w14:textId="77777777" w:rsidR="00A77B3E" w:rsidRDefault="006814CD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Rada Miasta zapoznała się z opinią Komisji Skarg, Wniosków i Petycji, z której wynika m.in., że:</w:t>
      </w:r>
    </w:p>
    <w:p w14:paraId="4DA440F8" w14:textId="77777777" w:rsidR="00A77B3E" w:rsidRDefault="006814CD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Ad. 1) zgodnie z treścią aktualnie obowiązującego art. 44 ustawy z dnia 16 kwietnia 2004 r. o ochronie przyrody (Dz. U. z 2026 r. poz. 13) pomniki przyrody ustanawiane są w drodze uchwały rady gminy. Uchwała rady gminy określa nazwę danego obiektu lub obszaru, jego położenie, sprawującego nadzór, szczególne cele ochrony, w razie potrzeby ustalenia dotyczące jego czynnej ochrony oraz zakazy właściwe dla tego obiektu, obszaru lub jego części. Akt ten wymaga wcześniejszego uzgodnienia z właściwym regionalnym d</w:t>
      </w:r>
      <w:r>
        <w:rPr>
          <w:color w:val="000000"/>
          <w:u w:color="000000"/>
        </w:rPr>
        <w:t>yrektorem ochrony środowiska (RDOŚ). Stosownie do art. 44 ust. 1  ustawy z dnia 16 kwietnia 2004 r. o ochronie przyrody, w brzmieniu obowiązującym do 31 lipca 2009 r., ustanowienie pomnika przyrody następowało w drodze rozporządzenia wojewody albo uchwały rady gminy, jeżeli wojewoda nie ustanowił tych form ochrony przyrody. Zmiana wprowadzona od dnia 1 sierpnia 2009 r. ustawą z dnia 23 stycznia 2009 r. o zmianie niektórych ustaw w związku ze zmianą organizacji i podziale zadań administracji publicznej w woj</w:t>
      </w:r>
      <w:r>
        <w:rPr>
          <w:color w:val="000000"/>
          <w:u w:color="000000"/>
        </w:rPr>
        <w:t>ewództwie (Dz. U. Nr 92, poz. 753, z 2011 r. Nr 291, poz. 1707 oraz z 2016 r. poz. 2260), wyłączyła prawo wojewody do ustanawiania m.in. pomników przyrody. Zgodnie z art. 35 ust. 1 ustawy z dnia 23 stycznia 2009 r. o zmianie niektórych ustaw w związku ze zmianą organizacji i podziale zadań administracji publicznej w województwie, do czasu wejścia w życie aktów prawa miejscowego wydanych na podstawie upoważnień zmienianych niniejszą ustawą, zachowują moc dotychczasowe akty prawa miejscowego. Tym samym, wyjaś</w:t>
      </w:r>
      <w:r>
        <w:rPr>
          <w:color w:val="000000"/>
          <w:u w:color="000000"/>
        </w:rPr>
        <w:t xml:space="preserve">nić należy, że pomniki przyrody ustanowione na podstawie przepisów obowiązujących przed wejściem w życie ww. ustawy zmieniającej, są nimi nadal i nie został wprowadzony obowiązek aktualizacji aktów prawnych, na podstawie których zostały one ustanowione. </w:t>
      </w:r>
    </w:p>
    <w:p w14:paraId="315D4A01" w14:textId="77777777" w:rsidR="00A77B3E" w:rsidRDefault="006814CD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ab/>
        <w:t>Pomimo braku takiego obowiązku, Prezydent Miasta podjął działania celem podjęcia w dalszej kolejności aktualizacji prawa miejscowego w zakresie pomników przyrody.</w:t>
      </w:r>
    </w:p>
    <w:p w14:paraId="62ECCF05" w14:textId="77777777" w:rsidR="00A77B3E" w:rsidRDefault="006814CD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tab/>
        <w:t>Do projektu budżetu Miasta na 2026 r. została wpisana kwota zabezpieczająca przeprowadzenie ekspertyz dla 17 pomników przyrody. Po dokonanych badaniach, pomiarach drzew oraz przeprowadzonej analizie ich zdrowotności, zostaną podjęte stosowne uchwały w celu dostosowania prawa miejscowego do aktualnych przepisów wynikających z ustawy z dnia 16 kwietnia 2004 r. o ochronie przyrody. Nastąpi również korekta danych w Centralnym Rejestrze Form Ochrony Przyrody (CRFOP).</w:t>
      </w:r>
    </w:p>
    <w:p w14:paraId="31CED7AC" w14:textId="77777777" w:rsidR="00A77B3E" w:rsidRDefault="006814CD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Ad. 2) W </w:t>
      </w:r>
      <w:r>
        <w:rPr>
          <w:color w:val="000000"/>
          <w:u w:color="000000"/>
        </w:rPr>
        <w:t>aktualnym porządku prawnym nie ma przepisu, który nakłada obowiązek raportowania organowi stanowiącemu jednostki samorządu terytorialnego stanu pomników przyrody. Wprowadzenie do Programu ochrony środowiska zapisu o wnioskowanym poziomie szczegółowości jest bezzasadne, a ponadto wątpliwe pod względem podstawy prawnej. Organy administracji publicznej działają bowiem na podstawie i w granicach prawa. Powyższe oznacza, że musi istnieć przepis prawa wyraźnie wskazujący kompetencję danego organu do określonego d</w:t>
      </w:r>
      <w:r>
        <w:rPr>
          <w:color w:val="000000"/>
          <w:u w:color="000000"/>
        </w:rPr>
        <w:t>ziałania. Zgodnie z ustawą z dnia 16 kwietnia 2004 r. o ochronie przyrody, kwestie ustanawiania form ochrony przyrody, w tym pomników przyrody są szczegółowo uregulowane w art. 44 ust. 2 tej ustawy. Rada gminy podejmując uchwałę</w:t>
      </w:r>
      <w:r>
        <w:rPr>
          <w:color w:val="000000"/>
          <w:u w:color="000000"/>
        </w:rPr>
        <w:br/>
        <w:t>w sprawie pomnika przyrody działa w granicach określonych ustawą, a projekt takiej uchwały wymaga uzgodnienia z Regionalnym Dyrektorem Ochrony Środowiska. Oznacza to, że materia ta podlega ustawowemu nadzorowi i określonej procedurze. Ponadto prowadzenie ewidencji, aktualizacja dany</w:t>
      </w:r>
      <w:r>
        <w:rPr>
          <w:color w:val="000000"/>
          <w:u w:color="000000"/>
        </w:rPr>
        <w:t>ch oraz bieżące monitorowanie stanu pomników przyrody należą do zadań organu wykonawczego gminy</w:t>
      </w:r>
      <w:r>
        <w:rPr>
          <w:color w:val="000000"/>
          <w:u w:color="000000"/>
        </w:rPr>
        <w:br/>
        <w:t>i realizowane są w oparciu o obowiązujące przepisy prawa. Należy zaznaczyć, że zgodnie z wyrokiem WSA w Łodzi z dnia 23.07.2021 r., sygn. akt II SA/</w:t>
      </w:r>
      <w:proofErr w:type="spellStart"/>
      <w:r>
        <w:rPr>
          <w:color w:val="000000"/>
          <w:u w:color="000000"/>
        </w:rPr>
        <w:t>Łd</w:t>
      </w:r>
      <w:proofErr w:type="spellEnd"/>
      <w:r>
        <w:rPr>
          <w:color w:val="000000"/>
          <w:u w:color="000000"/>
        </w:rPr>
        <w:t xml:space="preserve"> 203/21 możliwość stosowania w prawie administracyjnym analogii jest niedopuszczalna, ponieważ zgodnie z zasadą praworządności (art. 7 Konstytucji RP) każda norma kompetencyjna musi być realizowana zgodnie z regułami stanowienia prawa. Tak więc zakres upoważnienia m</w:t>
      </w:r>
      <w:r>
        <w:rPr>
          <w:color w:val="000000"/>
          <w:u w:color="000000"/>
        </w:rPr>
        <w:t>usi być zawsze interpretowany przez pryzmat działania w granicach i na podstawie prawa. Realizując kompetencję organ musi uwzględniać treść normy upoważniającej i nie może poszukiwać analogii w innych przepisach prawa odnoszących się do innych czy nawet podobnych regulacji, w ramach przyznanych kompetencji przez ustawodawcę. Odstąpienie od tej zasady stanowi istotne naruszenia prawa. Wobec powyższego brak jest podstawy prawnej do wprowadzenia do Programu ochrony środowiska zapisów, o jakich mowa w części 2 </w:t>
      </w:r>
      <w:r>
        <w:rPr>
          <w:color w:val="000000"/>
          <w:u w:color="000000"/>
        </w:rPr>
        <w:t>petycji.</w:t>
      </w:r>
    </w:p>
    <w:p w14:paraId="6734A7B1" w14:textId="77777777" w:rsidR="00A77B3E" w:rsidRDefault="006814CD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Jednocześnie należy zaznaczyć, że stan drzew na terenie miasta Zduńska Wola jest systematycznie monitorowany. W 2025 r. zostały wykonane ekspertyzy dendrologiczne dla 2 pomników przyrody,</w:t>
      </w:r>
      <w:r>
        <w:rPr>
          <w:color w:val="000000"/>
          <w:u w:color="000000"/>
        </w:rPr>
        <w:br/>
        <w:t>na podstawie których Rada Miasta Zduńska Wola podjęła uchwały w zakresie pielęgnacji drzew.</w:t>
      </w:r>
    </w:p>
    <w:p w14:paraId="6A1212B5" w14:textId="77777777" w:rsidR="00A77B3E" w:rsidRDefault="006814CD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Reasumując, uwzględniając również opinię Komisji Skarg, Wniosków i Petycji, Rada Miasta Zduńska Wola uznaje, że w zakresie punktu pierwszego, petycja jest zasadna i </w:t>
      </w:r>
      <w:r>
        <w:rPr>
          <w:color w:val="000000"/>
          <w:u w:color="000000"/>
        </w:rPr>
        <w:t>będą podejmowane przez Radę Miasta Zduńska Wola uchwały w tym zakresie. W sprawie poruszonej w punkcie drugim petycji, Rada Miasta Zduńska Wola uznaje petycję za bezzasadną z przyczyn wskazanych powyżej</w:t>
      </w:r>
    </w:p>
    <w:p w14:paraId="526488B0" w14:textId="77777777" w:rsidR="00A77B3E" w:rsidRDefault="006814CD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Niniejsza uchwała wraz z załącznikiem stanowi zawiadomienie o sposobie załatwienia petycji w rozumieniu art. 13 ust. 1 ustawy z dnia 11 lipca 2014 r. o petycjach.</w:t>
      </w:r>
    </w:p>
    <w:sectPr w:rsidR="00A77B3E">
      <w:footerReference w:type="default" r:id="rId7"/>
      <w:endnotePr>
        <w:numFmt w:val="decimal"/>
      </w:endnotePr>
      <w:pgSz w:w="11906" w:h="16838"/>
      <w:pgMar w:top="737" w:right="850" w:bottom="737" w:left="96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18D00" w14:textId="77777777" w:rsidR="006814CD" w:rsidRDefault="006814CD">
      <w:r>
        <w:separator/>
      </w:r>
    </w:p>
  </w:endnote>
  <w:endnote w:type="continuationSeparator" w:id="0">
    <w:p w14:paraId="683557BD" w14:textId="77777777" w:rsidR="006814CD" w:rsidRDefault="00681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8"/>
      <w:gridCol w:w="3364"/>
    </w:tblGrid>
    <w:tr w:rsidR="00E14EDC" w14:paraId="38370E01" w14:textId="77777777">
      <w:tc>
        <w:tcPr>
          <w:tcW w:w="6728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0FB9DD99" w14:textId="77777777" w:rsidR="00E14EDC" w:rsidRDefault="006814CD">
          <w:pPr>
            <w:jc w:val="left"/>
            <w:rPr>
              <w:sz w:val="20"/>
            </w:rPr>
          </w:pPr>
          <w:r>
            <w:rPr>
              <w:sz w:val="20"/>
            </w:rPr>
            <w:t>Id: FB981C56-525D-4FA1-BFF0-9281FFD50BDC. Podpisany</w:t>
          </w:r>
        </w:p>
      </w:tc>
      <w:tc>
        <w:tcPr>
          <w:tcW w:w="336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6876FF8F" w14:textId="77777777" w:rsidR="00E14EDC" w:rsidRDefault="006814CD">
          <w:pPr>
            <w:jc w:val="right"/>
            <w:rPr>
              <w:sz w:val="20"/>
            </w:rPr>
          </w:pPr>
          <w:r>
            <w:rPr>
              <w:sz w:val="20"/>
            </w:rPr>
            <w:t xml:space="preserve">Strona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>PAGE</w:instrText>
          </w:r>
          <w:r>
            <w:rPr>
              <w:sz w:val="20"/>
            </w:rPr>
            <w:fldChar w:fldCharType="separate"/>
          </w:r>
          <w:r w:rsidR="007873C7">
            <w:rPr>
              <w:noProof/>
              <w:sz w:val="20"/>
            </w:rPr>
            <w:t>1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 xml:space="preserve"> z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>NUMPAGES</w:instrText>
          </w:r>
          <w:r>
            <w:rPr>
              <w:sz w:val="20"/>
            </w:rPr>
            <w:fldChar w:fldCharType="separate"/>
          </w:r>
          <w:r w:rsidR="007873C7">
            <w:rPr>
              <w:noProof/>
              <w:sz w:val="20"/>
            </w:rPr>
            <w:t>2</w:t>
          </w:r>
          <w:r>
            <w:rPr>
              <w:sz w:val="20"/>
            </w:rPr>
            <w:fldChar w:fldCharType="end"/>
          </w:r>
        </w:p>
      </w:tc>
    </w:tr>
  </w:tbl>
  <w:p w14:paraId="33211C46" w14:textId="77777777" w:rsidR="00E14EDC" w:rsidRDefault="00E14EDC">
    <w:pPr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8"/>
      <w:gridCol w:w="3364"/>
    </w:tblGrid>
    <w:tr w:rsidR="00E14EDC" w14:paraId="07AA800B" w14:textId="77777777">
      <w:tc>
        <w:tcPr>
          <w:tcW w:w="6728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6146E0D8" w14:textId="77777777" w:rsidR="00E14EDC" w:rsidRDefault="006814CD">
          <w:pPr>
            <w:jc w:val="left"/>
            <w:rPr>
              <w:sz w:val="20"/>
            </w:rPr>
          </w:pPr>
          <w:r>
            <w:rPr>
              <w:sz w:val="20"/>
            </w:rPr>
            <w:t>Id: FB981C56-525D-4FA1-BFF0-9281FFD50BDC. Podpisany</w:t>
          </w:r>
        </w:p>
      </w:tc>
      <w:tc>
        <w:tcPr>
          <w:tcW w:w="336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772CAB09" w14:textId="77777777" w:rsidR="00E14EDC" w:rsidRDefault="006814CD">
          <w:pPr>
            <w:jc w:val="right"/>
            <w:rPr>
              <w:sz w:val="20"/>
            </w:rPr>
          </w:pPr>
          <w:r>
            <w:rPr>
              <w:sz w:val="20"/>
            </w:rPr>
            <w:t xml:space="preserve">Strona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>PAGE</w:instrText>
          </w:r>
          <w:r>
            <w:rPr>
              <w:sz w:val="20"/>
            </w:rPr>
            <w:fldChar w:fldCharType="separate"/>
          </w:r>
          <w:r w:rsidR="007873C7">
            <w:rPr>
              <w:noProof/>
              <w:sz w:val="20"/>
            </w:rPr>
            <w:t>2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 xml:space="preserve"> z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>NUMPAGES</w:instrText>
          </w:r>
          <w:r>
            <w:rPr>
              <w:sz w:val="20"/>
            </w:rPr>
            <w:fldChar w:fldCharType="separate"/>
          </w:r>
          <w:r w:rsidR="007873C7">
            <w:rPr>
              <w:noProof/>
              <w:sz w:val="20"/>
            </w:rPr>
            <w:t>3</w:t>
          </w:r>
          <w:r>
            <w:rPr>
              <w:sz w:val="20"/>
            </w:rPr>
            <w:fldChar w:fldCharType="end"/>
          </w:r>
        </w:p>
      </w:tc>
    </w:tr>
  </w:tbl>
  <w:p w14:paraId="32FEDE91" w14:textId="77777777" w:rsidR="00E14EDC" w:rsidRDefault="00E14EDC">
    <w:pPr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15CC6" w14:textId="77777777" w:rsidR="006814CD" w:rsidRDefault="006814CD">
      <w:r>
        <w:separator/>
      </w:r>
    </w:p>
  </w:footnote>
  <w:footnote w:type="continuationSeparator" w:id="0">
    <w:p w14:paraId="59A74280" w14:textId="77777777" w:rsidR="006814CD" w:rsidRDefault="006814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6814CD"/>
    <w:rsid w:val="007873C7"/>
    <w:rsid w:val="007F43D5"/>
    <w:rsid w:val="00A77B3E"/>
    <w:rsid w:val="00CA2A55"/>
    <w:rsid w:val="00E14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3F9E85"/>
  <w15:docId w15:val="{7CE975E5-38D8-427E-8303-1FAE7057F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1325</Words>
  <Characters>7954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Miasta Zduńska Wola</Company>
  <LinksUpToDate>false</LinksUpToDate>
  <CharactersWithSpaces>9261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XXIV/354/26 z dnia 26 marca 2026 r.</dc:title>
  <dc:subject>w sprawie rozpatrzenia petycji</dc:subject>
  <dc:creator>m.wojcik</dc:creator>
  <cp:lastModifiedBy>Małgorzata Wójcik</cp:lastModifiedBy>
  <cp:revision>2</cp:revision>
  <cp:lastPrinted>2026-03-30T10:46:00Z</cp:lastPrinted>
  <dcterms:created xsi:type="dcterms:W3CDTF">2026-03-30T12:44:00Z</dcterms:created>
  <dcterms:modified xsi:type="dcterms:W3CDTF">2026-03-30T10:46:00Z</dcterms:modified>
  <cp:category>Akt prawny</cp:category>
</cp:coreProperties>
</file>